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760"/>
        <w:spacing w:after="0" w:line="226" w:lineRule="auto"/>
        <w:rPr>
          <w:sz w:val="20"/>
          <w:szCs w:val="20"/>
          <w:color w:val="auto"/>
        </w:rPr>
      </w:pPr>
      <w:r>
        <w:rPr>
          <w:rFonts w:ascii="Times New Roman" w:cs="Times New Roman" w:eastAsia="Times New Roman" w:hAnsi="Times New Roman"/>
          <w:sz w:val="22"/>
          <w:szCs w:val="22"/>
          <w:color w:val="auto"/>
        </w:rPr>
        <w:t>________________</w:t>
      </w:r>
    </w:p>
    <w:p>
      <w:pPr>
        <w:jc w:val="center"/>
        <w:spacing w:after="0" w:line="230" w:lineRule="auto"/>
        <w:rPr>
          <w:sz w:val="20"/>
          <w:szCs w:val="20"/>
          <w:color w:val="auto"/>
        </w:rPr>
      </w:pPr>
      <w:r>
        <w:rPr>
          <w:rFonts w:ascii="Times New Roman" w:cs="Times New Roman" w:eastAsia="Times New Roman" w:hAnsi="Times New Roman"/>
          <w:sz w:val="25"/>
          <w:szCs w:val="25"/>
          <w:b w:val="1"/>
          <w:bCs w:val="1"/>
          <w:color w:val="auto"/>
        </w:rPr>
        <w:t>FORM 8-K</w:t>
      </w:r>
    </w:p>
    <w:p>
      <w:pPr>
        <w:ind w:left="4760"/>
        <w:spacing w:after="0" w:line="217" w:lineRule="auto"/>
        <w:rPr>
          <w:sz w:val="20"/>
          <w:szCs w:val="20"/>
          <w:color w:val="auto"/>
        </w:rPr>
      </w:pPr>
      <w:r>
        <w:rPr>
          <w:rFonts w:ascii="Times New Roman" w:cs="Times New Roman" w:eastAsia="Times New Roman" w:hAnsi="Times New Roman"/>
          <w:sz w:val="22"/>
          <w:szCs w:val="22"/>
          <w:color w:val="auto"/>
        </w:rPr>
        <w:t>________________</w:t>
      </w:r>
    </w:p>
    <w:p>
      <w:pPr>
        <w:spacing w:after="0" w:line="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line="234" w:lineRule="auto"/>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ind w:left="4060"/>
        <w:spacing w:after="0" w:line="218" w:lineRule="auto"/>
        <w:rPr>
          <w:sz w:val="20"/>
          <w:szCs w:val="20"/>
          <w:color w:val="auto"/>
        </w:rPr>
      </w:pPr>
      <w:r>
        <w:rPr>
          <w:rFonts w:ascii="Times New Roman" w:cs="Times New Roman" w:eastAsia="Times New Roman" w:hAnsi="Times New Roman"/>
          <w:sz w:val="22"/>
          <w:szCs w:val="22"/>
          <w:b w:val="1"/>
          <w:bCs w:val="1"/>
          <w:color w:val="auto"/>
        </w:rPr>
        <w:t>_____________________________</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ind w:left="4060"/>
        <w:spacing w:after="0" w:line="211" w:lineRule="auto"/>
        <w:rPr>
          <w:sz w:val="20"/>
          <w:szCs w:val="20"/>
          <w:color w:val="auto"/>
        </w:rPr>
      </w:pPr>
      <w:r>
        <w:rPr>
          <w:rFonts w:ascii="Times New Roman" w:cs="Times New Roman" w:eastAsia="Times New Roman" w:hAnsi="Times New Roman"/>
          <w:sz w:val="22"/>
          <w:szCs w:val="22"/>
          <w:b w:val="1"/>
          <w:bCs w:val="1"/>
          <w:color w:val="auto"/>
        </w:rPr>
        <w:t>_____________________________</w:t>
      </w:r>
    </w:p>
    <w:p>
      <w:pPr>
        <w:jc w:val="center"/>
        <w:spacing w:after="0" w:line="226" w:lineRule="auto"/>
        <w:rPr>
          <w:sz w:val="20"/>
          <w:szCs w:val="20"/>
          <w:color w:val="auto"/>
        </w:rPr>
      </w:pPr>
      <w:r>
        <w:rPr>
          <w:rFonts w:ascii="Times New Roman" w:cs="Times New Roman" w:eastAsia="Times New Roman" w:hAnsi="Times New Roman"/>
          <w:sz w:val="36"/>
          <w:szCs w:val="36"/>
          <w:b w:val="1"/>
          <w:bCs w:val="1"/>
          <w:color w:val="auto"/>
        </w:rPr>
        <w:t>NORWOOD FINANCIAL CORP</w:t>
      </w:r>
    </w:p>
    <w:p>
      <w:pPr>
        <w:jc w:val="center"/>
        <w:spacing w:after="0" w:line="229"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p>
      <w:pPr>
        <w:ind w:left="4760"/>
        <w:spacing w:after="0"/>
        <w:rPr>
          <w:sz w:val="20"/>
          <w:szCs w:val="20"/>
          <w:color w:val="auto"/>
        </w:rPr>
      </w:pPr>
      <w:r>
        <w:rPr>
          <w:rFonts w:ascii="Times New Roman" w:cs="Times New Roman" w:eastAsia="Times New Roman" w:hAnsi="Times New Roman"/>
          <w:sz w:val="22"/>
          <w:szCs w:val="22"/>
          <w:color w:val="auto"/>
        </w:rPr>
        <w:t>________________</w:t>
      </w:r>
    </w:p>
    <w:p>
      <w:pPr>
        <w:spacing w:after="0" w:line="7"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66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72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0-28364</w:t>
            </w:r>
          </w:p>
        </w:tc>
        <w:tc>
          <w:tcPr>
            <w:tcW w:w="30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23-2828306</w:t>
            </w:r>
          </w:p>
        </w:tc>
      </w:tr>
      <w:tr>
        <w:trPr>
          <w:trHeight w:val="203"/>
        </w:trPr>
        <w:tc>
          <w:tcPr>
            <w:tcW w:w="3660" w:type="dxa"/>
            <w:vAlign w:val="bottom"/>
          </w:tcPr>
          <w:p>
            <w:pPr>
              <w:jc w:val="center"/>
              <w:ind w:right="14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720" w:type="dxa"/>
            <w:vAlign w:val="bottom"/>
          </w:tcPr>
          <w:p>
            <w:pPr>
              <w:jc w:val="center"/>
              <w:ind w:right="3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Number)</w:t>
            </w:r>
          </w:p>
        </w:tc>
      </w:tr>
      <w:tr>
        <w:trPr>
          <w:trHeight w:val="531"/>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717 Main Street, Honesdale, Pennsylvania</w:t>
            </w:r>
          </w:p>
        </w:tc>
        <w:tc>
          <w:tcPr>
            <w:tcW w:w="2720" w:type="dxa"/>
            <w:vAlign w:val="bottom"/>
          </w:tcPr>
          <w:p>
            <w:pPr>
              <w:spacing w:after="0"/>
              <w:rPr>
                <w:sz w:val="24"/>
                <w:szCs w:val="24"/>
                <w:color w:val="auto"/>
              </w:rPr>
            </w:pPr>
          </w:p>
        </w:tc>
        <w:tc>
          <w:tcPr>
            <w:tcW w:w="234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18431</w:t>
            </w:r>
          </w:p>
        </w:tc>
        <w:tc>
          <w:tcPr>
            <w:tcW w:w="720" w:type="dxa"/>
            <w:vAlign w:val="bottom"/>
          </w:tcPr>
          <w:p>
            <w:pPr>
              <w:spacing w:after="0"/>
              <w:rPr>
                <w:sz w:val="24"/>
                <w:szCs w:val="24"/>
                <w:color w:val="auto"/>
              </w:rPr>
            </w:pPr>
          </w:p>
        </w:tc>
      </w:tr>
      <w:tr>
        <w:trPr>
          <w:trHeight w:val="238"/>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720" w:type="dxa"/>
            <w:vAlign w:val="bottom"/>
          </w:tcPr>
          <w:p>
            <w:pPr>
              <w:spacing w:after="0"/>
              <w:rPr>
                <w:sz w:val="20"/>
                <w:szCs w:val="20"/>
                <w:color w:val="auto"/>
              </w:rPr>
            </w:pPr>
          </w:p>
        </w:tc>
      </w:tr>
      <w:tr>
        <w:trPr>
          <w:trHeight w:val="338"/>
        </w:trPr>
        <w:tc>
          <w:tcPr>
            <w:tcW w:w="638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(570)</w:t>
            </w:r>
            <w:r>
              <w:rPr>
                <w:rFonts w:ascii="Times New Roman" w:cs="Times New Roman" w:eastAsia="Times New Roman" w:hAnsi="Times New Roman"/>
                <w:sz w:val="18"/>
                <w:szCs w:val="18"/>
                <w:b w:val="1"/>
                <w:bCs w:val="1"/>
                <w:color w:val="auto"/>
              </w:rPr>
              <w:t xml:space="preserve"> 253-1455</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760"/>
        <w:spacing w:after="0" w:line="213" w:lineRule="auto"/>
        <w:rPr>
          <w:sz w:val="20"/>
          <w:szCs w:val="20"/>
          <w:color w:val="auto"/>
        </w:rPr>
      </w:pPr>
      <w:r>
        <w:rPr>
          <w:rFonts w:ascii="Times New Roman" w:cs="Times New Roman" w:eastAsia="Times New Roman" w:hAnsi="Times New Roman"/>
          <w:sz w:val="22"/>
          <w:szCs w:val="22"/>
          <w:color w:val="auto"/>
        </w:rPr>
        <w:t>________________</w:t>
      </w:r>
    </w:p>
    <w:p>
      <w:pPr>
        <w:spacing w:after="0" w:line="1" w:lineRule="exact"/>
        <w:rPr>
          <w:sz w:val="24"/>
          <w:szCs w:val="24"/>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560" w:right="2720" w:hanging="3539"/>
        <w:spacing w:after="0" w:line="443" w:lineRule="auto"/>
        <w:tabs>
          <w:tab w:leader="none" w:pos="4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2"/>
          </w:tcPr>
          <w:p>
            <w:pPr>
              <w:jc w:val="center"/>
              <w:ind w:right="120"/>
              <w:spacing w:after="0" w:line="204"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24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rPr>
              <w:t>Name of exchange on</w:t>
            </w:r>
          </w:p>
        </w:tc>
      </w:tr>
      <w:tr>
        <w:trPr>
          <w:trHeight w:val="225"/>
        </w:trPr>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Title of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w:t>
            </w:r>
          </w:p>
        </w:tc>
        <w:tc>
          <w:tcPr>
            <w:tcW w:w="196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w w:val="99"/>
              </w:rPr>
              <w:t>which‎</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12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NWFL</w:t>
            </w:r>
          </w:p>
        </w:tc>
        <w:tc>
          <w:tcPr>
            <w:tcW w:w="120" w:type="dxa"/>
            <w:vAlign w:val="bottom"/>
          </w:tcPr>
          <w:p>
            <w:pPr>
              <w:spacing w:after="0"/>
              <w:rPr>
                <w:sz w:val="19"/>
                <w:szCs w:val="19"/>
                <w:color w:val="auto"/>
              </w:rPr>
            </w:pPr>
          </w:p>
        </w:tc>
        <w:tc>
          <w:tcPr>
            <w:tcW w:w="4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25"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u w:val="single" w:color="auto"/>
          <w:color w:val="auto"/>
        </w:rPr>
        <w:t>Regulation FD Disclosure</w:t>
      </w:r>
    </w:p>
    <w:p>
      <w:pPr>
        <w:spacing w:after="0" w:line="18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During June 2026, two customers (the “Borrowers”) of Wayne Bank (the “Bank”), the bank subsidiary of Norwood Financial Corp (the “Company”), filed for personal and corporate Chapter 11 bankruptcy. The Bank has five loans to four different corporate entities controlled by the Borrowers totaling $22.0 million (which represents the Bank’s participation interest in a total credit of $29.0 million for which the Bank is the originating lender). The loans are primarily secured by several commercial real estate properties. The Company has been identified as a creditor to the bankrupt entities and is currently analyzing the potential loss exposure to the Company. The Company anticipates providing further information relating to the lending relationship as part of its second quarter earnings release expected to be issued on or about July 22, 2026.</w:t>
      </w:r>
    </w:p>
    <w:p>
      <w:pPr>
        <w:spacing w:after="0" w:line="158"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18"/>
          <w:szCs w:val="18"/>
          <w:color w:val="auto"/>
        </w:rPr>
        <w:t>The information contained in this Form 8-K provided under Item 7.01 is being furnished and shall not be deemed to be “filed” for purposes of Section 18 of the Securities Exchange Act of 1934 (the “Exchange Act”), or otherwise subject to the liability of such section, nor shall it be deemed incorporated by reference in any filing of the Company under the Securities Act of 1933 or the Exchange Act, unless expressly incorporated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In addition to historical information, this current report on Form 8-K may contain forward-looking statements within the meaning of the Private Securities Litigation Reform Act of 1995, which describes the future plans, strategies and expectations of the Company. Forward-looking statements can be identified by the use of words such as “estimate,” “project,” “believe,” “intend,” “anticipate,” “assume,” “plan,” “seek,” “expect,” “will,” “may,” “should,” “indicate,” “would,” “contemplate,” “continue,” “target” and words of similar meaning. Forward-looking statements are based on our current beliefs and expectations and are inherently subject to significant business, economic and competitive uncertainties and contingencies, many of which are beyond our control. In addition, these forward-looking statements are subject to assumptions with respect to future business strategies and decisions that are subject to change. Accordingly, you should not place undue reliance on such statements. We are under no duty to and do not take any obligation to update any forward-looking statements after the date of this report. Those risks and uncertainties include, among other things, changes in federal and state laws, changes in interest rates, our ability to maintain strong credit quality metrics, our ability to have future performance, our ability to control core operating expenses and costs, demand for real estate, government fiscal and trade policies, cybersecurity and general economic conditions. The Company undertakes no obligation to publicly release the results of any revisions to those forward-looking statements which may be made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37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NORWOOD FINANCIAL CORP</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NORWOOD FINANCIAL CORP</w:t>
      </w:r>
    </w:p>
    <w:p>
      <w:pPr>
        <w:spacing w:after="0" w:line="202" w:lineRule="exact"/>
        <w:rPr>
          <w:sz w:val="20"/>
          <w:szCs w:val="20"/>
          <w:color w:val="auto"/>
        </w:rPr>
      </w:pPr>
    </w:p>
    <w:p>
      <w:pPr>
        <w:ind w:left="20"/>
        <w:spacing w:after="0"/>
        <w:tabs>
          <w:tab w:leader="none" w:pos="5760" w:val="left"/>
          <w:tab w:leader="none" w:pos="618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M. McCaffery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line="237" w:lineRule="auto"/>
        <w:rPr>
          <w:sz w:val="20"/>
          <w:szCs w:val="20"/>
          <w:color w:val="auto"/>
        </w:rPr>
      </w:pPr>
      <w:r>
        <w:rPr>
          <w:rFonts w:ascii="Times New Roman" w:cs="Times New Roman" w:eastAsia="Times New Roman" w:hAnsi="Times New Roman"/>
          <w:sz w:val="18"/>
          <w:szCs w:val="18"/>
          <w:color w:val="auto"/>
        </w:rPr>
        <w:t>John M. McCaffery</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and</w:t>
      </w: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40"/>
      </w:cols>
      <w:pgMar w:left="320" w:top="4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2026-06-18T06:39:29Z</dcterms:created>
  <dcterms:modified xsi:type="dcterms:W3CDTF">2026-06-18T06:39:29Z</dcterms:modified>
</cp:coreProperties>
</file>