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17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Gifford Jeffrey S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NORWOOD FINANCIAL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NWFL</w:t>
            </w:r>
          </w:p>
        </w:tc>
        <w:tc>
          <w:tcPr>
            <w:tcW w:w="15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717 MAIN STREET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HONESDALE  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18431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30.19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26,727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76,082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2,487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Abigail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Lockwood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2,487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Ryan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Lockwood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35,746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1"/>
                <w:vertAlign w:val="subscript"/>
              </w:rPr>
              <w:t>280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420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550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82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825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(6)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6,920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-1289685</wp:posOffset>
            </wp:positionV>
            <wp:extent cx="29845" cy="16459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645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17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1450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145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3"/>
          <w:szCs w:val="23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Owned</w:t>
      </w:r>
    </w:p>
    <w:p>
      <w:pPr>
        <w:ind w:left="734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(e.g., puts, calls, warrants, options, convertible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securities)Numb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4Code.  V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3"/>
              </w:rPr>
              <w:t>5(A).Number(D)</w:t>
            </w: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0"/>
              </w:rPr>
              <w:t>6Exercisable.DateExercisableDate and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0"/>
              </w:rPr>
              <w:t>7Title.Title Sharesand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160" w:type="dxa"/>
            <w:vAlign w:val="bottom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</w:t>
            </w:r>
          </w:p>
        </w:tc>
        <w:tc>
          <w:tcPr>
            <w:tcW w:w="4440" w:type="dxa"/>
            <w:vAlign w:val="bottom"/>
            <w:gridSpan w:val="5"/>
          </w:tcPr>
          <w:p>
            <w:pPr>
              <w:ind w:left="2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Director Retainer Shares issued under the 2024 Equity Incentive Plan.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40" w:type="dxa"/>
            <w:vAlign w:val="bottom"/>
            <w:gridSpan w:val="6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1"/>
              </w:rPr>
              <w:t>Award vests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1"/>
              </w:rPr>
              <w:t>Security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1"/>
              </w:rPr>
              <w:t>infiveequal installments beginning on December 14, 2022 and annually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1"/>
              </w:rPr>
              <w:t>(A)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1"/>
              </w:rPr>
              <w:t>thereafter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1"/>
              </w:rPr>
              <w:t>or</w:t>
            </w:r>
          </w:p>
        </w:tc>
        <w:tc>
          <w:tcPr>
            <w:tcW w:w="5200" w:type="dxa"/>
            <w:vAlign w:val="bottom"/>
            <w:gridSpan w:val="6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77"/>
              </w:rPr>
              <w:t>during such periods of continued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77"/>
              </w:rPr>
              <w:t>Security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77"/>
              </w:rPr>
              <w:t>service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77"/>
              </w:rPr>
              <w:t>(Instr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77"/>
              </w:rPr>
              <w:t>asan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77"/>
              </w:rPr>
              <w:t>.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77"/>
              </w:rPr>
              <w:t xml:space="preserve"> Employee, Outside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77"/>
              </w:rPr>
              <w:t>Following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77"/>
              </w:rPr>
              <w:t>Director or Director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77"/>
              </w:rPr>
              <w:t>(I)(Instr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77"/>
              </w:rPr>
              <w:t>Emeritus,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77"/>
              </w:rPr>
              <w:t>.4)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applicable.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920" w:type="dxa"/>
            <w:vAlign w:val="bottom"/>
            <w:gridSpan w:val="13"/>
          </w:tcPr>
          <w:p>
            <w:pPr>
              <w:ind w:left="2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Award vests in five equal installments beginning on December 13, 2023 and annually thereafter during such periods of continued service as an Employee, Outside Director or Director Emeritus,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applicable.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 w:right="460" w:firstLine="7"/>
        <w:spacing w:after="0" w:line="250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vests in five equal installments beginning on December 12, 2024 and annually thereafter during such periods of continued service as an Employee, Outside Director or Director Emeritus, as applicable.</w:t>
      </w:r>
    </w:p>
    <w:p>
      <w:pPr>
        <w:spacing w:after="0" w:line="2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vests in three equal installments beginning on December 15 , 2025 and annually thereafter during such periods of continued service as an Employee, Outside Director or Director Emeritus, as applicable.</w:t>
      </w:r>
    </w:p>
    <w:p>
      <w:pPr>
        <w:ind w:left="7340" w:right="400" w:hanging="7293"/>
        <w:spacing w:after="0" w:line="180" w:lineRule="auto"/>
        <w:tabs>
          <w:tab w:leader="none" w:pos="18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Award vests in three equal installments beginning on December 15, 2026 and annually thereafter during such periods of continued service</w:t>
      </w:r>
      <w:r>
        <w:rPr>
          <w:rFonts w:ascii="Arial" w:cs="Arial" w:eastAsia="Arial" w:hAnsi="Arial"/>
          <w:sz w:val="20"/>
          <w:szCs w:val="20"/>
          <w:b w:val="1"/>
          <w:bCs w:val="1"/>
          <w:color w:val="000000"/>
          <w:vertAlign w:val="superscript"/>
        </w:rPr>
        <w:t>Amount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 xml:space="preserve">asan Employee, Outside Director or Director Emeritus, as 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or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applicable.</w:t>
      </w: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0"/>
        </w:trPr>
        <w:tc>
          <w:tcPr>
            <w:tcW w:w="4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4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0000FF"/>
                <w:highlight w:val="white"/>
              </w:rPr>
              <w:t>/s/ Jeffrey S. Gifford 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4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highlight w:val="white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4500" w:type="dxa"/>
            <w:vAlign w:val="bottom"/>
          </w:tcPr>
          <w:p>
            <w:pPr>
              <w:ind w:left="38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20" w:type="dxa"/>
            <w:vAlign w:val="bottom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   Exercisable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46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highlight w:val="white"/>
              </w:rPr>
              <w:t>Mackenzie Jackson, Power of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highlight w:val="white"/>
              </w:rPr>
              <w:t>06/11/2026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Attorney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7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15945" TargetMode="External"/><Relationship Id="rId14" Type="http://schemas.openxmlformats.org/officeDocument/2006/relationships/hyperlink" Target="http://www.sec.gov/cgi-bin/browse-edgar?action=getcompany&amp;CIK=00010132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2026-06-12T08:49:50Z</dcterms:created>
  <dcterms:modified xsi:type="dcterms:W3CDTF">2026-06-12T08:49:50Z</dcterms:modified>
</cp:coreProperties>
</file>