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760"/>
        <w:spacing w:after="0" w:line="226" w:lineRule="auto"/>
        <w:rPr>
          <w:sz w:val="20"/>
          <w:szCs w:val="20"/>
          <w:color w:val="auto"/>
        </w:rPr>
      </w:pPr>
      <w:r>
        <w:rPr>
          <w:rFonts w:ascii="Times New Roman" w:cs="Times New Roman" w:eastAsia="Times New Roman" w:hAnsi="Times New Roman"/>
          <w:sz w:val="22"/>
          <w:szCs w:val="22"/>
          <w:color w:val="auto"/>
        </w:rPr>
        <w:t>________________</w:t>
      </w:r>
    </w:p>
    <w:p>
      <w:pPr>
        <w:jc w:val="center"/>
        <w:spacing w:after="0" w:line="230"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17" w:lineRule="auto"/>
        <w:rPr>
          <w:sz w:val="20"/>
          <w:szCs w:val="20"/>
          <w:color w:val="auto"/>
        </w:rPr>
      </w:pPr>
      <w:r>
        <w:rPr>
          <w:rFonts w:ascii="Times New Roman" w:cs="Times New Roman" w:eastAsia="Times New Roman" w:hAnsi="Times New Roman"/>
          <w:sz w:val="22"/>
          <w:szCs w:val="22"/>
          <w:color w:val="auto"/>
        </w:rPr>
        <w:t>________________</w:t>
      </w:r>
    </w:p>
    <w:p>
      <w:pPr>
        <w:spacing w:after="0" w:line="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line="234" w:lineRule="auto"/>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ind w:left="4060"/>
        <w:spacing w:after="0" w:line="218" w:lineRule="auto"/>
        <w:rPr>
          <w:sz w:val="20"/>
          <w:szCs w:val="20"/>
          <w:color w:val="auto"/>
        </w:rPr>
      </w:pPr>
      <w:r>
        <w:rPr>
          <w:rFonts w:ascii="Times New Roman" w:cs="Times New Roman" w:eastAsia="Times New Roman" w:hAnsi="Times New Roman"/>
          <w:sz w:val="22"/>
          <w:szCs w:val="22"/>
          <w:b w:val="1"/>
          <w:bCs w:val="1"/>
          <w:color w:val="auto"/>
        </w:rPr>
        <w:t>_____________________________</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ind w:left="4060"/>
        <w:spacing w:after="0" w:line="211" w:lineRule="auto"/>
        <w:rPr>
          <w:sz w:val="20"/>
          <w:szCs w:val="20"/>
          <w:color w:val="auto"/>
        </w:rPr>
      </w:pPr>
      <w:r>
        <w:rPr>
          <w:rFonts w:ascii="Times New Roman" w:cs="Times New Roman" w:eastAsia="Times New Roman" w:hAnsi="Times New Roman"/>
          <w:sz w:val="22"/>
          <w:szCs w:val="22"/>
          <w:b w:val="1"/>
          <w:bCs w:val="1"/>
          <w:color w:val="auto"/>
        </w:rPr>
        <w:t>_____________________________</w:t>
      </w:r>
    </w:p>
    <w:p>
      <w:pPr>
        <w:jc w:val="center"/>
        <w:spacing w:after="0" w:line="226" w:lineRule="auto"/>
        <w:rPr>
          <w:sz w:val="20"/>
          <w:szCs w:val="20"/>
          <w:color w:val="auto"/>
        </w:rPr>
      </w:pPr>
      <w:r>
        <w:rPr>
          <w:rFonts w:ascii="Times New Roman" w:cs="Times New Roman" w:eastAsia="Times New Roman" w:hAnsi="Times New Roman"/>
          <w:sz w:val="36"/>
          <w:szCs w:val="36"/>
          <w:b w:val="1"/>
          <w:bCs w:val="1"/>
          <w:color w:val="auto"/>
        </w:rPr>
        <w:t>NORWOOD FINANCIAL CORP</w:t>
      </w:r>
    </w:p>
    <w:p>
      <w:pPr>
        <w:jc w:val="center"/>
        <w:spacing w:after="0" w:line="229"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22"/>
          <w:szCs w:val="22"/>
          <w:color w:val="auto"/>
        </w:rPr>
        <w:t>________________</w:t>
      </w:r>
    </w:p>
    <w:p>
      <w:pPr>
        <w:spacing w:after="0" w:line="7"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66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7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0-28364</w:t>
            </w:r>
          </w:p>
        </w:tc>
        <w:tc>
          <w:tcPr>
            <w:tcW w:w="30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23-2828306</w:t>
            </w:r>
          </w:p>
        </w:tc>
      </w:tr>
      <w:tr>
        <w:trPr>
          <w:trHeight w:val="203"/>
        </w:trPr>
        <w:tc>
          <w:tcPr>
            <w:tcW w:w="3660" w:type="dxa"/>
            <w:vAlign w:val="bottom"/>
          </w:tcPr>
          <w:p>
            <w:pPr>
              <w:jc w:val="center"/>
              <w:ind w:right="14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720" w:type="dxa"/>
            <w:vAlign w:val="bottom"/>
          </w:tcPr>
          <w:p>
            <w:pPr>
              <w:jc w:val="center"/>
              <w:ind w:right="3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6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Number)</w:t>
            </w:r>
          </w:p>
        </w:tc>
      </w:tr>
      <w:tr>
        <w:trPr>
          <w:trHeight w:val="531"/>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717 Main Street, Honesdale, Pennsylvania</w:t>
            </w:r>
          </w:p>
        </w:tc>
        <w:tc>
          <w:tcPr>
            <w:tcW w:w="2720" w:type="dxa"/>
            <w:vAlign w:val="bottom"/>
          </w:tcPr>
          <w:p>
            <w:pPr>
              <w:spacing w:after="0"/>
              <w:rPr>
                <w:sz w:val="24"/>
                <w:szCs w:val="24"/>
                <w:color w:val="auto"/>
              </w:rPr>
            </w:pPr>
          </w:p>
        </w:tc>
        <w:tc>
          <w:tcPr>
            <w:tcW w:w="2340" w:type="dxa"/>
            <w:vAlign w:val="bottom"/>
            <w:gridSpan w:val="3"/>
          </w:tcPr>
          <w:p>
            <w:pPr>
              <w:ind w:left="1360"/>
              <w:spacing w:after="0"/>
              <w:rPr>
                <w:sz w:val="20"/>
                <w:szCs w:val="20"/>
                <w:color w:val="auto"/>
              </w:rPr>
            </w:pPr>
            <w:r>
              <w:rPr>
                <w:rFonts w:ascii="Times New Roman" w:cs="Times New Roman" w:eastAsia="Times New Roman" w:hAnsi="Times New Roman"/>
                <w:sz w:val="18"/>
                <w:szCs w:val="18"/>
                <w:b w:val="1"/>
                <w:bCs w:val="1"/>
                <w:color w:val="auto"/>
              </w:rPr>
              <w:t>18431</w:t>
            </w:r>
          </w:p>
        </w:tc>
        <w:tc>
          <w:tcPr>
            <w:tcW w:w="720" w:type="dxa"/>
            <w:vAlign w:val="bottom"/>
          </w:tcPr>
          <w:p>
            <w:pPr>
              <w:spacing w:after="0"/>
              <w:rPr>
                <w:sz w:val="24"/>
                <w:szCs w:val="24"/>
                <w:color w:val="auto"/>
              </w:rPr>
            </w:pPr>
          </w:p>
        </w:tc>
      </w:tr>
      <w:tr>
        <w:trPr>
          <w:trHeight w:val="23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720" w:type="dxa"/>
            <w:vAlign w:val="bottom"/>
          </w:tcPr>
          <w:p>
            <w:pPr>
              <w:spacing w:after="0"/>
              <w:rPr>
                <w:sz w:val="20"/>
                <w:szCs w:val="20"/>
                <w:color w:val="auto"/>
              </w:rPr>
            </w:pPr>
          </w:p>
        </w:tc>
      </w:tr>
      <w:tr>
        <w:trPr>
          <w:trHeight w:val="338"/>
        </w:trPr>
        <w:tc>
          <w:tcPr>
            <w:tcW w:w="638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(570)</w:t>
            </w:r>
            <w:r>
              <w:rPr>
                <w:rFonts w:ascii="Times New Roman" w:cs="Times New Roman" w:eastAsia="Times New Roman" w:hAnsi="Times New Roman"/>
                <w:sz w:val="18"/>
                <w:szCs w:val="18"/>
                <w:b w:val="1"/>
                <w:bCs w:val="1"/>
                <w:color w:val="auto"/>
              </w:rPr>
              <w:t xml:space="preserve"> 253-1455</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22"/>
          <w:szCs w:val="22"/>
          <w:color w:val="auto"/>
        </w:rPr>
        <w:t>________________</w:t>
      </w:r>
    </w:p>
    <w:p>
      <w:pPr>
        <w:spacing w:after="0" w:line="1" w:lineRule="exact"/>
        <w:rPr>
          <w:sz w:val="24"/>
          <w:szCs w:val="24"/>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560" w:right="2720" w:hanging="3539"/>
        <w:spacing w:after="0" w:line="443" w:lineRule="auto"/>
        <w:tabs>
          <w:tab w:leader="none" w:pos="4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240" w:type="dxa"/>
            <w:vAlign w:val="bottom"/>
            <w:gridSpan w:val="2"/>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rPr>
              <w:t>Name of exchange on</w:t>
            </w:r>
          </w:p>
        </w:tc>
      </w:tr>
      <w:tr>
        <w:trPr>
          <w:trHeight w:val="225"/>
        </w:trPr>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Title of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19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w w:val="99"/>
              </w:rPr>
              <w:t>which‎</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12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NWFL</w:t>
            </w:r>
          </w:p>
        </w:tc>
        <w:tc>
          <w:tcPr>
            <w:tcW w:w="120" w:type="dxa"/>
            <w:vAlign w:val="bottom"/>
          </w:tcPr>
          <w:p>
            <w:pPr>
              <w:spacing w:after="0"/>
              <w:rPr>
                <w:sz w:val="19"/>
                <w:szCs w:val="19"/>
                <w:color w:val="auto"/>
              </w:rPr>
            </w:pPr>
          </w:p>
        </w:tc>
        <w:tc>
          <w:tcPr>
            <w:tcW w:w="4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25"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NORWOOD FINANCIAL CORP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TO BE INCLUDED IN THE REPORT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340"/>
        <w:spacing w:after="0" w:line="236" w:lineRule="auto"/>
        <w:rPr>
          <w:sz w:val="20"/>
          <w:szCs w:val="20"/>
          <w:color w:val="auto"/>
        </w:rPr>
      </w:pPr>
      <w:r>
        <w:rPr>
          <w:rFonts w:ascii="Times New Roman" w:cs="Times New Roman" w:eastAsia="Times New Roman" w:hAnsi="Times New Roman"/>
          <w:sz w:val="18"/>
          <w:szCs w:val="18"/>
          <w:color w:val="auto"/>
        </w:rPr>
        <w:t>On June 18, 2026, Norwood Financial Corp announced that its Board of Directors had declared a quarterly cash dividend of $0.32 per share payable on August 3, 2026, to stockholders of record as of July 15, 2026. A copy of the press release dated June 18, 2026, announcing the dividend is included as Exhibit 99.1 to this report and is incorporated herein by reference.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furnished with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22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4"/>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18, 2026.</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39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for this Current Report on Form 8-K, formatted in Inline XBRL (included as Exhibit 101).</w:t>
            </w:r>
          </w:p>
        </w:tc>
      </w:tr>
      <w:tr>
        <w:trPr>
          <w:trHeight w:val="912"/>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3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NORWOOD FINANCIAL CORP</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NORWOOD FINANCIAL CORP</w:t>
      </w:r>
    </w:p>
    <w:p>
      <w:pPr>
        <w:sectPr>
          <w:pgSz w:w="11900" w:h="16838" w:orient="portrait"/>
          <w:cols w:equalWidth="0" w:num="1">
            <w:col w:w="11240"/>
          </w:cols>
          <w:pgMar w:left="320" w:top="495"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18, 2026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M. McCaffery</w:t>
      </w:r>
    </w:p>
    <w:p>
      <w:pPr>
        <w:spacing w:after="0" w:line="221" w:lineRule="auto"/>
        <w:rPr>
          <w:sz w:val="20"/>
          <w:szCs w:val="20"/>
          <w:color w:val="auto"/>
        </w:rPr>
      </w:pPr>
      <w:r>
        <w:rPr>
          <w:rFonts w:ascii="Times New Roman" w:cs="Times New Roman" w:eastAsia="Times New Roman" w:hAnsi="Times New Roman"/>
          <w:sz w:val="18"/>
          <w:szCs w:val="18"/>
          <w:color w:val="auto"/>
        </w:rPr>
        <w:t>John M. McCaffery</w:t>
      </w:r>
    </w:p>
    <w:p>
      <w:pPr>
        <w:spacing w:after="0" w:line="232" w:lineRule="auto"/>
        <w:rPr>
          <w:sz w:val="20"/>
          <w:szCs w:val="20"/>
          <w:color w:val="auto"/>
        </w:rPr>
      </w:pPr>
      <w:r>
        <w:rPr>
          <w:rFonts w:ascii="Times New Roman" w:cs="Times New Roman" w:eastAsia="Times New Roman" w:hAnsi="Times New Roman"/>
          <w:sz w:val="17"/>
          <w:szCs w:val="17"/>
          <w:color w:val="auto"/>
        </w:rPr>
        <w:t>Executive Vice President and Chief Executive Officer</w:t>
      </w:r>
    </w:p>
    <w:p>
      <w:pPr>
        <w:spacing w:after="0"/>
        <w:rPr>
          <w:sz w:val="20"/>
          <w:szCs w:val="20"/>
          <w:color w:val="auto"/>
        </w:rPr>
      </w:pPr>
      <w:r>
        <w:rPr>
          <w:rFonts w:ascii="Times New Roman" w:cs="Times New Roman" w:eastAsia="Times New Roman" w:hAnsi="Times New Roman"/>
          <w:sz w:val="18"/>
          <w:szCs w:val="18"/>
          <w:color w:val="auto"/>
        </w:rPr>
        <w:t>(Duly Authorized Representative)</w:t>
      </w:r>
    </w:p>
    <w:p>
      <w:pPr>
        <w:sectPr>
          <w:pgSz w:w="11900" w:h="16838" w:orient="portrait"/>
          <w:cols w:equalWidth="0" w:num="3">
            <w:col w:w="5060" w:space="720"/>
            <w:col w:w="260" w:space="160"/>
            <w:col w:w="5040"/>
          </w:cols>
          <w:pgMar w:left="320" w:top="495" w:right="339" w:bottom="1440" w:gutter="0" w:footer="0" w:header="0"/>
          <w:type w:val="continuous"/>
        </w:sectPr>
      </w:pPr>
    </w:p>
    <w:bookmarkStart w:id="3" w:name="page4"/>
    <w:bookmarkEnd w:id="3"/>
    <w:p>
      <w:pPr>
        <w:ind w:left="2960"/>
        <w:spacing w:after="0"/>
        <w:rPr>
          <w:sz w:val="20"/>
          <w:szCs w:val="20"/>
          <w:color w:val="auto"/>
        </w:rPr>
      </w:pPr>
      <w:r>
        <w:rPr>
          <w:rFonts w:ascii="Arial" w:cs="Arial" w:eastAsia="Arial" w:hAnsi="Arial"/>
          <w:sz w:val="22"/>
          <w:szCs w:val="22"/>
          <w:b w:val="1"/>
          <w:bCs w:val="1"/>
          <w:u w:val="single" w:color="auto"/>
          <w:color w:val="auto"/>
        </w:rPr>
        <w:t>NORWOOD FINANCIAL CORP</w:t>
      </w:r>
    </w:p>
    <w:p>
      <w:pPr>
        <w:ind w:left="2920"/>
        <w:spacing w:after="0"/>
        <w:rPr>
          <w:sz w:val="20"/>
          <w:szCs w:val="20"/>
          <w:color w:val="auto"/>
        </w:rPr>
      </w:pPr>
      <w:r>
        <w:rPr>
          <w:rFonts w:ascii="Arial" w:cs="Arial" w:eastAsia="Arial" w:hAnsi="Arial"/>
          <w:sz w:val="22"/>
          <w:szCs w:val="22"/>
          <w:b w:val="1"/>
          <w:bCs w:val="1"/>
          <w:u w:val="single" w:color="auto"/>
          <w:color w:val="auto"/>
        </w:rPr>
        <w:t>ANNOUNCES CASH DIVIDEND</w:t>
      </w:r>
    </w:p>
    <w:p>
      <w:pPr>
        <w:spacing w:after="0" w:line="200" w:lineRule="exact"/>
        <w:rPr>
          <w:sz w:val="20"/>
          <w:szCs w:val="20"/>
          <w:color w:val="auto"/>
        </w:rPr>
      </w:pPr>
    </w:p>
    <w:p>
      <w:pPr>
        <w:spacing w:after="0" w:line="283" w:lineRule="exact"/>
        <w:rPr>
          <w:sz w:val="20"/>
          <w:szCs w:val="20"/>
          <w:color w:val="auto"/>
        </w:rPr>
      </w:pPr>
    </w:p>
    <w:p>
      <w:pPr>
        <w:ind w:left="180" w:right="559" w:firstLine="648"/>
        <w:spacing w:after="0" w:line="409" w:lineRule="auto"/>
        <w:rPr>
          <w:sz w:val="20"/>
          <w:szCs w:val="20"/>
          <w:color w:val="auto"/>
        </w:rPr>
      </w:pPr>
      <w:r>
        <w:rPr>
          <w:rFonts w:ascii="Arial" w:cs="Arial" w:eastAsia="Arial" w:hAnsi="Arial"/>
          <w:sz w:val="22"/>
          <w:szCs w:val="22"/>
          <w:color w:val="auto"/>
        </w:rPr>
        <w:t>HONESDALE, PENNSYLVANIA- JUNE 18, 2026 (GLOBE NEWSWIRE) -- Norwood Financial Corp (NASDAQ Global Market - NWFL) and its subsidiary Wayne Bank, announced that the Board of Directors has declared a $0.32 per share cash dividend, which is payable on August 3, 2026, to shareholders of record as of July 15, 2026. The $0.32 per share remains the same as the per share dividend declared in the first quarter of 2026.</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About Norwood Financial Corp</w:t>
      </w:r>
    </w:p>
    <w:p>
      <w:pPr>
        <w:spacing w:after="0" w:line="181" w:lineRule="exact"/>
        <w:rPr>
          <w:sz w:val="20"/>
          <w:szCs w:val="20"/>
          <w:color w:val="auto"/>
        </w:rPr>
      </w:pPr>
    </w:p>
    <w:p>
      <w:pPr>
        <w:ind w:left="180" w:right="359" w:firstLine="648"/>
        <w:spacing w:after="0" w:line="415" w:lineRule="auto"/>
        <w:rPr>
          <w:sz w:val="20"/>
          <w:szCs w:val="20"/>
          <w:color w:val="auto"/>
        </w:rPr>
      </w:pPr>
      <w:r>
        <w:rPr>
          <w:rFonts w:ascii="Arial" w:cs="Arial" w:eastAsia="Arial" w:hAnsi="Arial"/>
          <w:sz w:val="22"/>
          <w:szCs w:val="22"/>
          <w:color w:val="auto"/>
        </w:rPr>
        <w:t>Norwood Financial Corp, through its subsidiary, Wayne Bank operates 33 Community Offices serving Wayne, Pike, Monroe, Lackawanna, Luzerne, Chester, Cumberland, and Lancaster Counties in Pennsylvania, along with Delaware, Sullivan, Otsego, Ontario, and Yates Counties in New York. The Company has total assets of $2.9 billion. The Company’s stock is traded on the Nasdaq Global Market under the symbol “NWFL”. For more information, visit wayne.bank.</w:t>
      </w:r>
    </w:p>
    <w:p>
      <w:pPr>
        <w:spacing w:after="0" w:line="39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Forward-Looking Statements.</w:t>
      </w:r>
    </w:p>
    <w:p>
      <w:pPr>
        <w:spacing w:after="0" w:line="181" w:lineRule="exact"/>
        <w:rPr>
          <w:sz w:val="20"/>
          <w:szCs w:val="20"/>
          <w:color w:val="auto"/>
        </w:rPr>
      </w:pPr>
    </w:p>
    <w:p>
      <w:pPr>
        <w:ind w:left="180" w:right="299"/>
        <w:spacing w:after="0" w:line="415" w:lineRule="auto"/>
        <w:rPr>
          <w:sz w:val="20"/>
          <w:szCs w:val="20"/>
          <w:color w:val="auto"/>
        </w:rPr>
      </w:pPr>
      <w:r>
        <w:rPr>
          <w:rFonts w:ascii="Arial" w:cs="Arial" w:eastAsia="Arial" w:hAnsi="Arial"/>
          <w:sz w:val="22"/>
          <w:szCs w:val="22"/>
          <w:color w:val="auto"/>
        </w:rPr>
        <w:t>Statements contained in this news release that are not historical facts are forward-looking statements as that term is defined in the Private Securities Litigation Reform Act of 1995. Such forward-looking statements are subject to risks and uncertainties which could cause actual results to differ materially from those currently anticipated due to a number of factors, which include, but are not limited to, factors discussed in documents filed by the Company with the Securities and Exchange Commission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60325</wp:posOffset>
            </wp:positionV>
            <wp:extent cx="552894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3" w:right="1440" w:bottom="1440" w:gutter="0" w:footer="0" w:header="0"/>
        </w:sectPr>
      </w:pPr>
    </w:p>
    <w:bookmarkStart w:id="4" w:name="page5"/>
    <w:bookmarkEnd w:id="4"/>
    <w:p>
      <w:pPr>
        <w:ind w:left="180"/>
        <w:spacing w:after="0"/>
        <w:rPr>
          <w:sz w:val="20"/>
          <w:szCs w:val="20"/>
          <w:color w:val="auto"/>
        </w:rPr>
      </w:pPr>
      <w:r>
        <w:rPr>
          <w:rFonts w:ascii="Arial" w:cs="Arial" w:eastAsia="Arial" w:hAnsi="Arial"/>
          <w:sz w:val="22"/>
          <w:szCs w:val="22"/>
          <w:color w:val="auto"/>
        </w:rPr>
        <w:t>The Company does not undertake and specifically disclaims any obligation to update any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1"/>
          <w:szCs w:val="21"/>
          <w:color w:val="auto"/>
        </w:rPr>
        <w:t>forward-looking statement, whether written or oral, that may be made from time to time by</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or on behalf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400" w:type="dxa"/>
            <w:vAlign w:val="bottom"/>
          </w:tcPr>
          <w:p>
            <w:pPr>
              <w:ind w:left="120"/>
              <w:spacing w:after="0"/>
              <w:rPr>
                <w:sz w:val="20"/>
                <w:szCs w:val="20"/>
                <w:color w:val="auto"/>
              </w:rPr>
            </w:pPr>
            <w:r>
              <w:rPr>
                <w:rFonts w:ascii="Arial" w:cs="Arial" w:eastAsia="Arial" w:hAnsi="Arial"/>
                <w:sz w:val="22"/>
                <w:szCs w:val="22"/>
                <w:color w:val="auto"/>
              </w:rPr>
              <w:t>CONTACT:</w:t>
            </w:r>
          </w:p>
        </w:tc>
        <w:tc>
          <w:tcPr>
            <w:tcW w:w="7280" w:type="dxa"/>
            <w:vAlign w:val="bottom"/>
          </w:tcPr>
          <w:p>
            <w:pPr>
              <w:ind w:left="240"/>
              <w:spacing w:after="0"/>
              <w:rPr>
                <w:sz w:val="20"/>
                <w:szCs w:val="20"/>
                <w:color w:val="auto"/>
              </w:rPr>
            </w:pPr>
            <w:r>
              <w:rPr>
                <w:rFonts w:ascii="Arial" w:cs="Arial" w:eastAsia="Arial" w:hAnsi="Arial"/>
                <w:sz w:val="22"/>
                <w:szCs w:val="22"/>
                <w:color w:val="auto"/>
              </w:rPr>
              <w:t>John M. McCaffery</w:t>
            </w:r>
          </w:p>
        </w:tc>
      </w:tr>
      <w:tr>
        <w:trPr>
          <w:trHeight w:val="216"/>
        </w:trPr>
        <w:tc>
          <w:tcPr>
            <w:tcW w:w="1400" w:type="dxa"/>
            <w:vAlign w:val="bottom"/>
          </w:tcPr>
          <w:p>
            <w:pPr>
              <w:spacing w:after="0"/>
              <w:rPr>
                <w:sz w:val="18"/>
                <w:szCs w:val="18"/>
                <w:color w:val="auto"/>
              </w:rPr>
            </w:pPr>
          </w:p>
        </w:tc>
        <w:tc>
          <w:tcPr>
            <w:tcW w:w="7280" w:type="dxa"/>
            <w:vAlign w:val="bottom"/>
          </w:tcPr>
          <w:p>
            <w:pPr>
              <w:ind w:left="240"/>
              <w:spacing w:after="0" w:line="216" w:lineRule="exact"/>
              <w:rPr>
                <w:sz w:val="20"/>
                <w:szCs w:val="20"/>
                <w:color w:val="auto"/>
              </w:rPr>
            </w:pPr>
            <w:r>
              <w:rPr>
                <w:rFonts w:ascii="Arial" w:cs="Arial" w:eastAsia="Arial" w:hAnsi="Arial"/>
                <w:sz w:val="22"/>
                <w:szCs w:val="22"/>
                <w:color w:val="auto"/>
              </w:rPr>
              <w:t>Executive Vice President and Chief Financial Officer</w:t>
            </w:r>
          </w:p>
        </w:tc>
      </w:tr>
      <w:tr>
        <w:trPr>
          <w:trHeight w:val="216"/>
        </w:trPr>
        <w:tc>
          <w:tcPr>
            <w:tcW w:w="1400" w:type="dxa"/>
            <w:vAlign w:val="bottom"/>
          </w:tcPr>
          <w:p>
            <w:pPr>
              <w:spacing w:after="0"/>
              <w:rPr>
                <w:sz w:val="18"/>
                <w:szCs w:val="18"/>
                <w:color w:val="auto"/>
              </w:rPr>
            </w:pPr>
          </w:p>
        </w:tc>
        <w:tc>
          <w:tcPr>
            <w:tcW w:w="7280" w:type="dxa"/>
            <w:vAlign w:val="bottom"/>
          </w:tcPr>
          <w:p>
            <w:pPr>
              <w:ind w:left="240"/>
              <w:spacing w:after="0" w:line="216" w:lineRule="exact"/>
              <w:rPr>
                <w:sz w:val="20"/>
                <w:szCs w:val="20"/>
                <w:color w:val="auto"/>
              </w:rPr>
            </w:pPr>
            <w:r>
              <w:rPr>
                <w:rFonts w:ascii="Arial" w:cs="Arial" w:eastAsia="Arial" w:hAnsi="Arial"/>
                <w:sz w:val="22"/>
                <w:szCs w:val="22"/>
                <w:color w:val="auto"/>
              </w:rPr>
              <w:t>NORWOOD FINANCIAL CORP</w:t>
            </w:r>
          </w:p>
        </w:tc>
      </w:tr>
      <w:tr>
        <w:trPr>
          <w:trHeight w:val="216"/>
        </w:trPr>
        <w:tc>
          <w:tcPr>
            <w:tcW w:w="1400" w:type="dxa"/>
            <w:vAlign w:val="bottom"/>
          </w:tcPr>
          <w:p>
            <w:pPr>
              <w:spacing w:after="0"/>
              <w:rPr>
                <w:sz w:val="18"/>
                <w:szCs w:val="18"/>
                <w:color w:val="auto"/>
              </w:rPr>
            </w:pPr>
          </w:p>
        </w:tc>
        <w:tc>
          <w:tcPr>
            <w:tcW w:w="7280" w:type="dxa"/>
            <w:vAlign w:val="bottom"/>
          </w:tcPr>
          <w:p>
            <w:pPr>
              <w:ind w:left="240"/>
              <w:spacing w:after="0" w:line="216" w:lineRule="exact"/>
              <w:rPr>
                <w:sz w:val="20"/>
                <w:szCs w:val="20"/>
                <w:color w:val="auto"/>
              </w:rPr>
            </w:pPr>
            <w:r>
              <w:rPr>
                <w:rFonts w:ascii="Arial" w:cs="Arial" w:eastAsia="Arial" w:hAnsi="Arial"/>
                <w:sz w:val="22"/>
                <w:szCs w:val="22"/>
                <w:color w:val="auto"/>
              </w:rPr>
              <w:t>(272) 304-3003</w:t>
            </w:r>
          </w:p>
        </w:tc>
      </w:tr>
      <w:tr>
        <w:trPr>
          <w:trHeight w:val="283"/>
        </w:trPr>
        <w:tc>
          <w:tcPr>
            <w:tcW w:w="1400" w:type="dxa"/>
            <w:vAlign w:val="bottom"/>
          </w:tcPr>
          <w:p>
            <w:pPr>
              <w:spacing w:after="0"/>
              <w:rPr>
                <w:sz w:val="24"/>
                <w:szCs w:val="24"/>
                <w:color w:val="auto"/>
              </w:rPr>
            </w:pPr>
          </w:p>
        </w:tc>
        <w:tc>
          <w:tcPr>
            <w:tcW w:w="7280" w:type="dxa"/>
            <w:vAlign w:val="bottom"/>
          </w:tcPr>
          <w:p>
            <w:pPr>
              <w:ind w:left="240"/>
              <w:spacing w:after="0"/>
              <w:rPr>
                <w:sz w:val="20"/>
                <w:szCs w:val="20"/>
                <w:color w:val="auto"/>
              </w:rPr>
            </w:pPr>
            <w:r>
              <w:rPr>
                <w:rFonts w:ascii="Arial" w:cs="Arial" w:eastAsia="Arial" w:hAnsi="Arial"/>
                <w:sz w:val="22"/>
                <w:szCs w:val="22"/>
                <w:color w:val="auto"/>
              </w:rPr>
              <w:t>Wayne.bank</w:t>
            </w:r>
          </w:p>
        </w:tc>
      </w:tr>
      <w:tr>
        <w:trPr>
          <w:trHeight w:val="404"/>
        </w:trPr>
        <w:tc>
          <w:tcPr>
            <w:tcW w:w="140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r>
        <w:trPr>
          <w:trHeight w:val="20"/>
        </w:trPr>
        <w:tc>
          <w:tcPr>
            <w:tcW w:w="1400" w:type="dxa"/>
            <w:vAlign w:val="bottom"/>
            <w:tcBorders>
              <w:bottom w:val="single" w:sz="8" w:color="EEEEEE"/>
            </w:tcBorders>
          </w:tcPr>
          <w:p>
            <w:pPr>
              <w:spacing w:after="0" w:line="20" w:lineRule="exact"/>
              <w:rPr>
                <w:sz w:val="1"/>
                <w:szCs w:val="1"/>
                <w:color w:val="auto"/>
              </w:rPr>
            </w:pPr>
          </w:p>
        </w:tc>
        <w:tc>
          <w:tcPr>
            <w:tcW w:w="7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sectPr>
      <w:pgSz w:w="11900" w:h="16838" w:orient="portrait"/>
      <w:cols w:equalWidth="0" w:num="1">
        <w:col w:w="9019"/>
      </w:cols>
      <w:pgMar w:left="1440" w:top="2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2026-06-18T06:46:12Z</dcterms:created>
  <dcterms:modified xsi:type="dcterms:W3CDTF">2026-06-18T06:46:12Z</dcterms:modified>
</cp:coreProperties>
</file>